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楷体" w:cs="Times New Roman"/>
          <w:color w:val="FF0000"/>
          <w:sz w:val="24"/>
          <w:szCs w:val="24"/>
          <w:highlight w:val="none"/>
        </w:rPr>
      </w:pPr>
      <w:r>
        <w:rPr>
          <w:rFonts w:hint="default" w:ascii="Times New Roman" w:hAnsi="Times New Roman" w:eastAsia="楷体" w:cs="Times New Roman"/>
          <w:color w:val="FF0000"/>
          <w:sz w:val="72"/>
          <w:szCs w:val="72"/>
          <w:highlight w:val="none"/>
        </w:rPr>
        <w:t>实验室安全</w:t>
      </w:r>
      <w:r>
        <w:rPr>
          <w:rFonts w:hint="default" w:ascii="Times New Roman" w:hAnsi="Times New Roman" w:eastAsia="楷体" w:cs="Times New Roman"/>
          <w:color w:val="FF0000"/>
          <w:sz w:val="72"/>
          <w:szCs w:val="72"/>
          <w:highlight w:val="none"/>
          <w:lang w:val="en-US" w:eastAsia="zh-CN"/>
        </w:rPr>
        <w:t>检查</w:t>
      </w:r>
      <w:r>
        <w:rPr>
          <w:rFonts w:hint="default" w:ascii="Times New Roman" w:hAnsi="Times New Roman" w:eastAsia="楷体" w:cs="Times New Roman"/>
          <w:color w:val="FF0000"/>
          <w:sz w:val="72"/>
          <w:szCs w:val="72"/>
          <w:highlight w:val="none"/>
        </w:rPr>
        <w:t>通报</w:t>
      </w:r>
    </w:p>
    <w:p>
      <w:pPr>
        <w:jc w:val="center"/>
        <w:rPr>
          <w:rFonts w:hint="default" w:ascii="Times New Roman" w:hAnsi="Times New Roman" w:eastAsia="楷体" w:cs="Times New Roman"/>
          <w:color w:val="FF0000"/>
          <w:sz w:val="24"/>
          <w:szCs w:val="24"/>
          <w:highlight w:val="none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仿宋_GB2312" w:cs="Times New Roman"/>
          <w:sz w:val="24"/>
          <w:szCs w:val="24"/>
          <w:highlight w:val="none"/>
        </w:rPr>
        <w:t>北京建筑大学 国有资产与实验室管理处        〔202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</w:rPr>
        <w:t>〕第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</w:rPr>
        <w:t>期，总第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  <w:lang w:val="en-US" w:eastAsia="zh-CN"/>
        </w:rPr>
        <w:t>34</w:t>
      </w:r>
      <w:r>
        <w:rPr>
          <w:rFonts w:hint="default" w:ascii="Times New Roman" w:hAnsi="Times New Roman" w:eastAsia="仿宋_GB2312" w:cs="Times New Roman"/>
          <w:sz w:val="24"/>
          <w:szCs w:val="24"/>
          <w:highlight w:val="none"/>
        </w:rPr>
        <w:t>期</w:t>
      </w:r>
    </w:p>
    <w:p>
      <w:pPr>
        <w:tabs>
          <w:tab w:val="right" w:pos="8306"/>
        </w:tabs>
        <w:jc w:val="left"/>
        <w:rPr>
          <w:rFonts w:ascii="Times New Roman" w:hAnsi="Times New Roman" w:eastAsia="楷体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楷体" w:cs="Times New Roman"/>
          <w:sz w:val="24"/>
          <w:szCs w:val="24"/>
          <w:highlight w:val="none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74930</wp:posOffset>
                </wp:positionV>
                <wp:extent cx="5260975" cy="0"/>
                <wp:effectExtent l="0" t="0" r="0" b="0"/>
                <wp:wrapNone/>
                <wp:docPr id="102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097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.75pt;margin-top:5.9pt;height:0pt;width:414.25pt;z-index:251660288;mso-width-relative:page;mso-height-relative:page;" filled="f" stroked="t" coordsize="21600,21600" o:gfxdata="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JcD1tYAAAAHAQAADwAAAAAAAAABACAAAAAiAAAAZHJzL2Rvd25yZXYueG1sUEsBAhQA&#10;FAAAAAgAh07iQAM8CCL0AQAA5gMAAA4AAAAAAAAAAQAgAAAAJQEAAGRycy9lMm9Eb2MueG1sUEsF&#10;BgAAAAAGAAYAWQEAAIsFAAAAAA==&#10;">
                <v:fill on="f" focussize="0,0"/>
                <v:stroke weight="1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楷体" w:cs="Times New Roman"/>
          <w:sz w:val="24"/>
          <w:szCs w:val="24"/>
          <w:highlight w:val="none"/>
        </w:rPr>
        <w:tab/>
      </w:r>
    </w:p>
    <w:p>
      <w:pPr>
        <w:tabs>
          <w:tab w:val="right" w:pos="8306"/>
        </w:tabs>
        <w:jc w:val="left"/>
        <w:rPr>
          <w:rFonts w:ascii="Times New Roman" w:hAnsi="Times New Roman" w:eastAsia="楷体" w:cs="Times New Roman"/>
          <w:sz w:val="22"/>
          <w:highlight w:val="none"/>
        </w:rPr>
      </w:pPr>
    </w:p>
    <w:p>
      <w:pPr>
        <w:tabs>
          <w:tab w:val="right" w:pos="8306"/>
        </w:tabs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>检查时间：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202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年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4月25日至27日</w:t>
      </w:r>
    </w:p>
    <w:p>
      <w:pPr>
        <w:tabs>
          <w:tab w:val="right" w:pos="8306"/>
        </w:tabs>
        <w:ind w:left="1400" w:hanging="1400" w:hangingChars="5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>检查范围：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建筑学院、土木学院、环能学院、机电学院、电信学院、经管学院、测绘学院、人文学院、理学院、工程中心</w:t>
      </w:r>
    </w:p>
    <w:p>
      <w:pPr>
        <w:ind w:left="1400" w:hanging="1400" w:hangingChars="5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检查内容：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实验室安全检查台账、化学品台账、气瓶、特种设备、消防安全、用电安全、环境卫生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等</w:t>
      </w:r>
    </w:p>
    <w:p>
      <w:pPr>
        <w:ind w:left="1400" w:hanging="1400" w:hangingChars="5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检查人员：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刘蔚、焦驰宇、杨赛、赵子彦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highlight w:val="none"/>
        </w:rPr>
        <w:t>各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二级单位：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4月25日至27日，国资处对全校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120间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实验室进行安全检查，重点检查了实验室安全检查台账、化学品台账、气瓶安全、消防安全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、用电安全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等内容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；同时，对17项安全隐患进行复查。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现针对检查发现的7项重点问题提出整改建议并对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64</w:t>
      </w:r>
      <w:r>
        <w:rPr>
          <w:rFonts w:hint="default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项安全隐患进行通报。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楷体" w:cs="Times New Roman"/>
          <w:sz w:val="24"/>
          <w:szCs w:val="24"/>
          <w:highlight w:val="none"/>
          <w:lang w:val="en-US" w:eastAsia="zh-CN"/>
        </w:rPr>
      </w:pPr>
    </w:p>
    <w:p>
      <w:pPr>
        <w:jc w:val="lef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一、重点问题整改建议</w:t>
      </w:r>
    </w:p>
    <w:tbl>
      <w:tblPr>
        <w:tblStyle w:val="7"/>
        <w:tblW w:w="5279" w:type="pct"/>
        <w:tblInd w:w="-2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1183"/>
        <w:gridCol w:w="1934"/>
        <w:gridCol w:w="5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隐患类别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重点问题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整改建议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安全检查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实验室安全检查台账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登记不全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（1）按照《北京建筑大学实验室安全分类分级管理办法》中规定的安全检查频次开展实验室安全检查。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（2）实验室房间建立安全检查台账并存放在房间内。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用水用电基础安全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用电不规范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1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禁止接线板串接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禁止使用非国标接线板</w:t>
            </w:r>
          </w:p>
          <w:p>
            <w:pPr>
              <w:numPr>
                <w:ilvl w:val="0"/>
                <w:numId w:val="1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不应遮挡配电箱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化学安全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部分实验室危化品动态台账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不规范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2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二级单位督促相关实验室整理动态台账。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将危化品动态台账悬挂在危化品储存柜柜体上。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1" w:hRule="atLeast"/>
        </w:trPr>
        <w:tc>
          <w:tcPr>
            <w:tcW w:w="401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657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消防设施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灭火器种类不符合灭火要求</w:t>
            </w:r>
          </w:p>
        </w:tc>
        <w:tc>
          <w:tcPr>
            <w:tcW w:w="2866" w:type="pct"/>
            <w:vAlign w:val="center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4" w:afterAutospacing="0" w:line="132" w:lineRule="atLeast"/>
              <w:ind w:left="0" w:right="0" w:firstLine="0"/>
              <w:jc w:val="both"/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实验室应根据《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fldChar w:fldCharType="begin"/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instrText xml:space="preserve"> HYPERLINK "https://www.baidu.com/link?url=lkb_3rUopSS6egoInc8Ty37TQd_zZyfMYPZlLfRRPzmuFithGRFZNqtuC9Gb3aRHPSH6aav7a17crcDIysmw8K&amp;wd=&amp;eqid=9c556b1500019b190000000262695a99" \t "https://www.baidu.com/_blank" </w:instrTex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fldChar w:fldCharType="separate"/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建筑灭火器配置设计规范》（GB50140-2005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fldChar w:fldCharType="end"/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）的规定，在位置明显、便于取用的地点配备合适的灭火设备，灭火器材的选择可参考下表：</w:t>
            </w:r>
          </w:p>
          <w:tbl>
            <w:tblPr>
              <w:tblStyle w:val="7"/>
              <w:tblW w:w="4832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78"/>
              <w:gridCol w:w="295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/>
                      <w:bCs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bCs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火灾类型</w:t>
                  </w:r>
                </w:p>
              </w:tc>
              <w:tc>
                <w:tcPr>
                  <w:tcW w:w="2954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/>
                      <w:bCs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bCs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建议选择灭火器材种类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A类火灾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（固体物质火灾）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both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水基型（泡沫）灭火器、磷酸铵盐干粉灭火器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B类火灾（液体或可熔化固体火灾）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both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水基型（泡沫）灭火器、干粉灭火器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C类火灾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（气体火灾）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both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干粉灭火器、二氧化碳灭火器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D类火灾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（金属火灾）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both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金属火灾专用灭火器、消防沙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878" w:type="dxa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E类火灾</w:t>
                  </w:r>
                </w:p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center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（带电火灾）</w:t>
                  </w:r>
                </w:p>
              </w:tc>
              <w:tc>
                <w:tcPr>
                  <w:tcW w:w="2954" w:type="dxa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numPr>
                      <w:ilvl w:val="0"/>
                      <w:numId w:val="0"/>
                    </w:numPr>
                    <w:suppressLineNumbers w:val="0"/>
                    <w:spacing w:before="0" w:beforeAutospacing="0" w:after="24" w:afterAutospacing="0" w:line="132" w:lineRule="atLeast"/>
                    <w:ind w:right="0" w:rightChars="0"/>
                    <w:jc w:val="both"/>
                    <w:outlineLvl w:val="2"/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 w:val="0"/>
                      <w:bCs w:val="0"/>
                      <w:kern w:val="2"/>
                      <w:sz w:val="21"/>
                      <w:szCs w:val="21"/>
                      <w:highlight w:val="none"/>
                      <w:vertAlign w:val="baseline"/>
                      <w:lang w:val="en-US" w:eastAsia="zh-CN" w:bidi="ar-SA"/>
                    </w:rPr>
                    <w:t>干粉灭火器、不带金属喇叭喷筒的二氧化碳灭火器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657" w:type="pct"/>
            <w:vMerge w:val="continue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灭火器未定期检验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（1）自查实验室内灭火器检测日期，如超期未检及时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联系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保卫处。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657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实验气体管理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气瓶台账缺失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（1）建立气瓶出入库台账。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40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657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气瓶安全附件缺失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（1）配齐气瓶帽、上下两条防震圈、阀门手轮等附件。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657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spacing w:line="28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气瓶瓶体老化、瓶身未标明气体种类、钢印与瓶身颜色、气体种类不符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（1）报废或联系厂家更换气瓶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40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657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气瓶使用状态标识缺失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（1）购买并悬挂使用状态标识牌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8" w:hRule="atLeast"/>
        </w:trPr>
        <w:tc>
          <w:tcPr>
            <w:tcW w:w="40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657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气瓶室管理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不规范</w:t>
            </w:r>
          </w:p>
        </w:tc>
        <w:tc>
          <w:tcPr>
            <w:tcW w:w="2866" w:type="pct"/>
            <w:vAlign w:val="center"/>
          </w:tcPr>
          <w:p>
            <w:pPr>
              <w:numPr>
                <w:ilvl w:val="0"/>
                <w:numId w:val="4"/>
              </w:numPr>
              <w:spacing w:line="290" w:lineRule="exact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明确气瓶室安全负责人。</w:t>
            </w:r>
          </w:p>
          <w:p>
            <w:pPr>
              <w:numPr>
                <w:ilvl w:val="0"/>
                <w:numId w:val="4"/>
              </w:numPr>
              <w:spacing w:line="290" w:lineRule="exact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做好出入库记录和使用记录。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确保管路材质选择合适，无破损或老化现象，定期进行气密性检查；张贴管路标识和详细管路图。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空瓶与实瓶分开放置，有明显标记。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气瓶排放整齐，标识明确，有毒、可燃气体张贴必要的安全警示标识。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可燃气体与助燃气体间距不得小于5米。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有毒、可燃等危险气体使用时常排风且带检测报警装置的气瓶柜。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line="290" w:lineRule="exact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每间气瓶室内，易燃气体存放总量不应超过36Nm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（如工作压力15MPa时相当于40L的6瓶），非易燃无毒气体存放总量不应超过60Nm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（如工作压力15MPa时相当于40L的10瓶）。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安全教育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教师、管理人员、校外人员安全准入考试通过率低</w:t>
            </w:r>
          </w:p>
        </w:tc>
        <w:tc>
          <w:tcPr>
            <w:tcW w:w="2866" w:type="pct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按照《北京建筑大学实验室安全教育和准入管理办法》，所有进入实验室的人员均应参加实验室安全准入考试。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657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实验场所</w:t>
            </w:r>
          </w:p>
        </w:tc>
        <w:tc>
          <w:tcPr>
            <w:tcW w:w="1074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实验室未配置应急备用钥匙</w:t>
            </w:r>
          </w:p>
        </w:tc>
        <w:tc>
          <w:tcPr>
            <w:tcW w:w="2866" w:type="pct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应急备用钥匙需集中存放、统一管理，应急时方便取用。</w:t>
            </w:r>
          </w:p>
        </w:tc>
      </w:tr>
    </w:tbl>
    <w:p>
      <w:pPr>
        <w:jc w:val="left"/>
        <w:rPr>
          <w:rFonts w:hint="default" w:ascii="Times New Roman" w:hAnsi="Times New Roman" w:eastAsia="黑体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>实验室安全检查记录</w:t>
      </w:r>
    </w:p>
    <w:tbl>
      <w:tblPr>
        <w:tblStyle w:val="6"/>
        <w:tblW w:w="5285" w:type="pct"/>
        <w:tblInd w:w="-2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64"/>
        <w:gridCol w:w="528"/>
        <w:gridCol w:w="699"/>
        <w:gridCol w:w="964"/>
        <w:gridCol w:w="1315"/>
        <w:gridCol w:w="2058"/>
        <w:gridCol w:w="1109"/>
        <w:gridCol w:w="11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校区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学院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楼宇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房间号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隐患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隐患照片</w:t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检查项目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检查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子项目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实验甲1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101|102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实验室出入人员登记不及时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42695" cy="558165"/>
                  <wp:effectExtent l="0" t="0" r="1905" b="635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实验甲1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101|102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气瓶防震圈缺失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1333500"/>
                  <wp:effectExtent l="0" t="0" r="9525" b="0"/>
                  <wp:docPr id="1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实验1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8705" cy="483235"/>
                  <wp:effectExtent l="0" t="0" r="10795" b="12065"/>
                  <wp:docPr id="2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插线板串接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50925" cy="474980"/>
                  <wp:effectExtent l="0" t="0" r="3175" b="7620"/>
                  <wp:docPr id="16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使用非标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5365" cy="459105"/>
                  <wp:effectExtent l="0" t="0" r="635" b="10795"/>
                  <wp:docPr id="2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4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堵塞消防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出口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1096010"/>
                  <wp:effectExtent l="0" t="0" r="0" b="8890"/>
                  <wp:docPr id="1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拆线板串接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967740"/>
                  <wp:effectExtent l="0" t="0" r="9525" b="10160"/>
                  <wp:docPr id="1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堵塞消防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出口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1371600"/>
                  <wp:effectExtent l="0" t="0" r="3175" b="0"/>
                  <wp:docPr id="18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灭火器过期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1276350"/>
                  <wp:effectExtent l="0" t="0" r="0" b="6350"/>
                  <wp:docPr id="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消防设施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灭火器过期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1333500"/>
                  <wp:effectExtent l="0" t="0" r="9525" b="0"/>
                  <wp:docPr id="2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消防设施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0285" cy="1114425"/>
                  <wp:effectExtent l="0" t="0" r="5715" b="3175"/>
                  <wp:docPr id="2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气瓶缺少气瓶帽、缺少防震圈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1343025"/>
                  <wp:effectExtent l="0" t="0" r="0" b="3175"/>
                  <wp:docPr id="23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报警器没有接电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1371600"/>
                  <wp:effectExtent l="0" t="0" r="3175" b="0"/>
                  <wp:docPr id="2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飞线使用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1295400"/>
                  <wp:effectExtent l="0" t="0" r="3175" b="0"/>
                  <wp:docPr id="30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未标识气瓶使用状态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1108710"/>
                  <wp:effectExtent l="0" t="0" r="3175" b="8890"/>
                  <wp:docPr id="31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冰箱内物品摆放杂乱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1314450"/>
                  <wp:effectExtent l="0" t="0" r="6350" b="6350"/>
                  <wp:docPr id="3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卫生与日常管理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通风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储存物品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04265" cy="499110"/>
                  <wp:effectExtent l="0" t="0" r="635" b="8890"/>
                  <wp:docPr id="33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卫生与日常管理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配电箱被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1062990"/>
                  <wp:effectExtent l="0" t="0" r="3175" b="3810"/>
                  <wp:docPr id="34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危化品使用记录登记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不规范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32510" cy="466725"/>
                  <wp:effectExtent l="0" t="0" r="8890" b="3175"/>
                  <wp:docPr id="26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10615" cy="471805"/>
                  <wp:effectExtent l="0" t="0" r="6985" b="10795"/>
                  <wp:docPr id="3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8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标识气瓶使用状态、氧气瓶未关闭总阀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02030" cy="1099185"/>
                  <wp:effectExtent l="0" t="0" r="1270" b="5715"/>
                  <wp:docPr id="4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气瓶台账登记不及时，4月8日有充装气记录，却没有出入库记录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78865" cy="492760"/>
                  <wp:effectExtent l="0" t="0" r="635" b="2540"/>
                  <wp:docPr id="29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、376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381、404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405、411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1733550"/>
                  <wp:effectExtent l="0" t="0" r="6350" b="6350"/>
                  <wp:docPr id="5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夜间使用登记表张贴不规范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1568450"/>
                  <wp:effectExtent l="0" t="0" r="3175" b="6350"/>
                  <wp:docPr id="5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喷淋设施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1790700"/>
                  <wp:effectExtent l="0" t="0" r="3175" b="0"/>
                  <wp:docPr id="64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应急喷淋与洗眼装置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8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 w:bidi="ar"/>
              </w:rPr>
              <w:t>1、缺少气瓶出入库登记记录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 w:bidi="ar"/>
              </w:rPr>
              <w:t>2、气瓶上没有标识气体名称、没有减震圈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 w:bidi="ar"/>
              </w:rPr>
              <w:t>3、空瓶没有气瓶帽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1190625"/>
                  <wp:effectExtent l="0" t="0" r="0" b="3175"/>
                  <wp:docPr id="36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气瓶摆放与张贴标识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不一致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1183005"/>
                  <wp:effectExtent l="0" t="0" r="3175" b="10795"/>
                  <wp:docPr id="38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气瓶室柜子摆放杂乱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1251585"/>
                  <wp:effectExtent l="0" t="0" r="6350" b="5715"/>
                  <wp:docPr id="46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登记不规范（26日检查写27日，时间顺序有问题）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490855"/>
                  <wp:effectExtent l="0" t="0" r="6350" b="4445"/>
                  <wp:docPr id="44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插线板串接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11250" cy="502285"/>
                  <wp:effectExtent l="0" t="0" r="6350" b="5715"/>
                  <wp:docPr id="66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夜间实验室未备案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1905000"/>
                  <wp:effectExtent l="0" t="0" r="9525" b="0"/>
                  <wp:docPr id="58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实验用矿泉水瓶未撕标识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，且放置不规范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1943100"/>
                  <wp:effectExtent l="0" t="0" r="3175" b="0"/>
                  <wp:docPr id="39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其他化学安全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危废放置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不规范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3460" cy="458470"/>
                  <wp:effectExtent l="0" t="0" r="2540" b="11430"/>
                  <wp:docPr id="59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4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洗眼设备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1771650"/>
                  <wp:effectExtent l="0" t="0" r="0" b="6350"/>
                  <wp:docPr id="40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应急喷淋与洗眼装置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危废无托盘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1676400"/>
                  <wp:effectExtent l="0" t="0" r="0" b="0"/>
                  <wp:docPr id="47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102|104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313|315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313|315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未使用国标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88060" cy="741045"/>
                  <wp:effectExtent l="0" t="0" r="2540" b="8255"/>
                  <wp:docPr id="75" name="图片 75" descr="IMG_20220427_11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20220427_1138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起重机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未登记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75360" cy="1300480"/>
                  <wp:effectExtent l="0" t="0" r="2540" b="7620"/>
                  <wp:docPr id="76" name="图片 76" descr="IMG_20220427_12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20220427_1201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机电等安全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仪器设备常规管理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实验室分级错误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安全检查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气瓶无换气记录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冰箱存放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1352550"/>
                  <wp:effectExtent l="0" t="0" r="6350" b="6350"/>
                  <wp:docPr id="60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卫生与日常管理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冰箱内药品标识不清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1295400"/>
                  <wp:effectExtent l="0" t="0" r="3175" b="0"/>
                  <wp:docPr id="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未使用国标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插板、串接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75360" cy="1300480"/>
                  <wp:effectExtent l="0" t="0" r="2540" b="7620"/>
                  <wp:docPr id="77" name="图片 77" descr="IMG_20220425_15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20220425_1547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7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瓶身文字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与储存气体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不符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1314450"/>
                  <wp:effectExtent l="0" t="0" r="9525" b="6350"/>
                  <wp:docPr id="52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103|105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遮挡配电箱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75360" cy="1300480"/>
                  <wp:effectExtent l="0" t="0" r="2540" b="7620"/>
                  <wp:docPr id="78" name="图片 78" descr="IMG_20220425_15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IMG_20220425_15125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1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B105|B107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灭火器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无指针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1314450"/>
                  <wp:effectExtent l="0" t="0" r="9525" b="6350"/>
                  <wp:docPr id="49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消防设施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东1-5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pacing w:val="-20"/>
                <w:kern w:val="0"/>
                <w:sz w:val="21"/>
                <w:szCs w:val="21"/>
                <w:u w:val="none"/>
                <w:lang w:val="en-US" w:eastAsia="zh-CN" w:bidi="ar"/>
              </w:rPr>
              <w:t>B112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灭火器过期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消防设施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插线板串接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19430" cy="1162050"/>
                  <wp:effectExtent l="0" t="0" r="1270" b="6350"/>
                  <wp:docPr id="61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541020" cy="1176020"/>
                  <wp:effectExtent l="0" t="0" r="5080" b="5080"/>
                  <wp:docPr id="42" name="图片 42" descr="IMG_20220425_14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20425_1405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421|423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200150"/>
                  <wp:effectExtent l="0" t="0" r="6350" b="6350"/>
                  <wp:docPr id="41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学C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实验场所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场所环境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气瓶无使用状态标识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800080"/>
                <w:sz w:val="21"/>
                <w:szCs w:val="21"/>
                <w:u w:val="singl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800080"/>
                <w:sz w:val="21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988060" cy="741045"/>
                  <wp:effectExtent l="0" t="0" r="2540" b="8255"/>
                  <wp:docPr id="82" name="图片 82" descr="IMG_20220427_10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20220427_10363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3个气瓶待报废、马弗炉与气瓶距离过近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535940" cy="1320800"/>
                  <wp:effectExtent l="0" t="0" r="10160" b="0"/>
                  <wp:docPr id="50" name="图片 50" descr="IMG_20220427_10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20427_1026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567690" cy="1300480"/>
                  <wp:effectExtent l="0" t="0" r="3810" b="7620"/>
                  <wp:docPr id="74" name="图片 74" descr="IMG_20220427_10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20220427_10235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气瓶瓶身破损、无气体种类标识、无阀门手轮、离配电箱过近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75360" cy="1300480"/>
                  <wp:effectExtent l="0" t="0" r="2540" b="7620"/>
                  <wp:docPr id="85" name="图片 85" descr="IMG_20220427_10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IMG_20220427_10322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未知气罐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1295400"/>
                  <wp:effectExtent l="0" t="0" r="3175" b="0"/>
                  <wp:docPr id="73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未划定危废存放区域、堆放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超过1.5米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1047750"/>
                  <wp:effectExtent l="0" t="0" r="6350" b="6350"/>
                  <wp:docPr id="71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矿泉水瓶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标签未撕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981200" cy="895350"/>
                  <wp:effectExtent l="0" t="0" r="0" b="6350"/>
                  <wp:docPr id="68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其他化学安全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高温设备上放置扫把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1104900"/>
                  <wp:effectExtent l="0" t="0" r="0" b="0"/>
                  <wp:docPr id="72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机电等安全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仪器设备常规管理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药品柜上放物品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1085850"/>
                  <wp:effectExtent l="0" t="0" r="9525" b="6350"/>
                  <wp:docPr id="67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缺少危化柜责任人，使用记录，药品清单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1066800"/>
                  <wp:effectExtent l="0" t="0" r="9525" b="0"/>
                  <wp:docPr id="70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气瓶没有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气瓶帽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1085850"/>
                  <wp:effectExtent l="0" t="0" r="9525" b="6350"/>
                  <wp:docPr id="6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实验气体管理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危化品与非危化品混放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1162050"/>
                  <wp:effectExtent l="0" t="0" r="9525" b="6350"/>
                  <wp:docPr id="7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危化品双本帐（电子账与纸版记录）登记不一致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9805" cy="1084580"/>
                  <wp:effectExtent l="0" t="0" r="10795" b="7620"/>
                  <wp:docPr id="9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化学安全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实验室化学品存放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线头裸露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971550"/>
                  <wp:effectExtent l="0" t="0" r="6350" b="6350"/>
                  <wp:docPr id="12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非标插线板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933450"/>
                  <wp:effectExtent l="0" t="0" r="0" b="6350"/>
                  <wp:docPr id="5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3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</w:t>
            </w:r>
          </w:p>
        </w:tc>
        <w:tc>
          <w:tcPr>
            <w:tcW w:w="7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插线板串接</w:t>
            </w:r>
          </w:p>
        </w:tc>
        <w:tc>
          <w:tcPr>
            <w:tcW w:w="1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2190" cy="452755"/>
                  <wp:effectExtent l="0" t="0" r="3810" b="4445"/>
                  <wp:docPr id="8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基础安全</w:t>
            </w:r>
          </w:p>
        </w:tc>
        <w:tc>
          <w:tcPr>
            <w:tcW w:w="6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用水用电基础安全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三、未整改安全隐患</w:t>
      </w:r>
    </w:p>
    <w:tbl>
      <w:tblPr>
        <w:tblStyle w:val="6"/>
        <w:tblpPr w:leftFromText="180" w:rightFromText="180" w:vertAnchor="text" w:horzAnchor="page" w:tblpX="1537" w:tblpY="232"/>
        <w:tblOverlap w:val="never"/>
        <w:tblW w:w="90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014"/>
        <w:gridCol w:w="1692"/>
        <w:gridCol w:w="2050"/>
        <w:gridCol w:w="1707"/>
        <w:gridCol w:w="18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校区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学院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楼宇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房间号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隐患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电信学院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学院楼D座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1层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观察窗遮挡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氧气瓶紧贴暖气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土木学院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废液标识不规范</w:t>
            </w:r>
          </w:p>
        </w:tc>
      </w:tr>
    </w:tbl>
    <w:p>
      <w:pPr>
        <w:jc w:val="both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四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、本次检查实验室房间清单</w:t>
      </w:r>
    </w:p>
    <w:tbl>
      <w:tblPr>
        <w:tblStyle w:val="6"/>
        <w:tblW w:w="5279" w:type="pct"/>
        <w:tblInd w:w="-2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1799"/>
        <w:gridCol w:w="1799"/>
        <w:gridCol w:w="1799"/>
        <w:gridCol w:w="18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校区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学院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楼宇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房间号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教4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教4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实验6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科研楼接建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实验1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实验1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西城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实验4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雨水楼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学B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421|423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测绘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101|103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102|104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工程中心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102|104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313|315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学D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金工楼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学C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振动台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振动台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B109|111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B105|B107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B112/B114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学E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B112库房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0"/>
                <w:rFonts w:hint="default" w:ascii="Times New Roman" w:hAnsi="Times New Roman" w:eastAsia="仿宋_GB2312" w:cs="Times New Roman"/>
                <w:sz w:val="21"/>
                <w:szCs w:val="21"/>
                <w:lang w:val="en-US" w:eastAsia="zh-CN" w:bidi="ar"/>
              </w:rPr>
              <w:t>1</w:t>
            </w:r>
            <w:r>
              <w:rPr>
                <w:rStyle w:val="11"/>
                <w:rFonts w:hint="default" w:ascii="Times New Roman" w:hAnsi="Times New Roman" w:eastAsia="仿宋_GB2312" w:cs="Times New Roman"/>
                <w:sz w:val="21"/>
                <w:szCs w:val="21"/>
                <w:lang w:val="en-US" w:eastAsia="zh-CN" w:bidi="ar"/>
              </w:rPr>
              <w:t>03|105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学F东侧楼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大兴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理学院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基C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423</w:t>
            </w:r>
          </w:p>
        </w:tc>
      </w:tr>
    </w:tbl>
    <w:p>
      <w:pPr>
        <w:spacing w:line="900" w:lineRule="exact"/>
        <w:jc w:val="right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</w:p>
    <w:p>
      <w:pPr>
        <w:spacing w:line="900" w:lineRule="exact"/>
        <w:jc w:val="right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</w:p>
    <w:p>
      <w:pPr>
        <w:spacing w:line="900" w:lineRule="exact"/>
        <w:jc w:val="right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国有资产与实验室管理处</w:t>
      </w:r>
    </w:p>
    <w:p>
      <w:pPr>
        <w:jc w:val="center"/>
        <w:rPr>
          <w:rFonts w:hint="default" w:ascii="Times New Roman" w:hAnsi="Times New Roman" w:eastAsia="楷体" w:cs="Times New Roman"/>
          <w:sz w:val="28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                                   2022年4月28日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</w:rPr>
                    </w:pPr>
                    <w:r>
                      <w:rPr>
                        <w:rFonts w:hint="eastAsia" w:ascii="宋体" w:hAnsi="宋体" w:eastAsia="宋体" w:cs="宋体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5F3B"/>
    <w:multiLevelType w:val="singleLevel"/>
    <w:tmpl w:val="826C5F3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A7474A7"/>
    <w:multiLevelType w:val="singleLevel"/>
    <w:tmpl w:val="CA7474A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E15129E"/>
    <w:multiLevelType w:val="singleLevel"/>
    <w:tmpl w:val="0E15129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6190E86"/>
    <w:multiLevelType w:val="singleLevel"/>
    <w:tmpl w:val="36190E8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2YjEwZTc2MjA5MDQ4NGM5YzRlNzk1NDcyNmMxNTAifQ=="/>
  </w:docVars>
  <w:rsids>
    <w:rsidRoot w:val="1E71613D"/>
    <w:rsid w:val="01B270FD"/>
    <w:rsid w:val="01BB2231"/>
    <w:rsid w:val="04762130"/>
    <w:rsid w:val="04A661DD"/>
    <w:rsid w:val="04E63198"/>
    <w:rsid w:val="0717727A"/>
    <w:rsid w:val="077B6278"/>
    <w:rsid w:val="0807145C"/>
    <w:rsid w:val="08474F94"/>
    <w:rsid w:val="086A3C64"/>
    <w:rsid w:val="0A9D1091"/>
    <w:rsid w:val="0AC0375B"/>
    <w:rsid w:val="0B3D00C9"/>
    <w:rsid w:val="0B7331CD"/>
    <w:rsid w:val="0E387FF2"/>
    <w:rsid w:val="0ED97FE3"/>
    <w:rsid w:val="0F7238A9"/>
    <w:rsid w:val="10CB1860"/>
    <w:rsid w:val="10FD107F"/>
    <w:rsid w:val="13555AF3"/>
    <w:rsid w:val="164A1DB7"/>
    <w:rsid w:val="19853F64"/>
    <w:rsid w:val="19B26330"/>
    <w:rsid w:val="1B313343"/>
    <w:rsid w:val="1BF06014"/>
    <w:rsid w:val="1C5F62D8"/>
    <w:rsid w:val="1DFB7E78"/>
    <w:rsid w:val="1E71613D"/>
    <w:rsid w:val="1E8F3403"/>
    <w:rsid w:val="1E9152A2"/>
    <w:rsid w:val="21BE6583"/>
    <w:rsid w:val="23A3164F"/>
    <w:rsid w:val="23C70972"/>
    <w:rsid w:val="24EC4B8E"/>
    <w:rsid w:val="250A2143"/>
    <w:rsid w:val="25733A63"/>
    <w:rsid w:val="25E438E8"/>
    <w:rsid w:val="269936B5"/>
    <w:rsid w:val="279A1E27"/>
    <w:rsid w:val="28FC2FBA"/>
    <w:rsid w:val="29B175E9"/>
    <w:rsid w:val="29D870B8"/>
    <w:rsid w:val="2AAE3125"/>
    <w:rsid w:val="2BA61539"/>
    <w:rsid w:val="2F7C118A"/>
    <w:rsid w:val="302A31A4"/>
    <w:rsid w:val="31170BF5"/>
    <w:rsid w:val="315248EC"/>
    <w:rsid w:val="33281B72"/>
    <w:rsid w:val="33B031B6"/>
    <w:rsid w:val="340A018D"/>
    <w:rsid w:val="34251A85"/>
    <w:rsid w:val="35575444"/>
    <w:rsid w:val="36F9742D"/>
    <w:rsid w:val="37471F02"/>
    <w:rsid w:val="3A72439C"/>
    <w:rsid w:val="3CA44158"/>
    <w:rsid w:val="3F801B36"/>
    <w:rsid w:val="40FD1BE2"/>
    <w:rsid w:val="42183BB4"/>
    <w:rsid w:val="42942910"/>
    <w:rsid w:val="43EE45EB"/>
    <w:rsid w:val="44206155"/>
    <w:rsid w:val="45067851"/>
    <w:rsid w:val="459441F7"/>
    <w:rsid w:val="45A869F3"/>
    <w:rsid w:val="45E719DB"/>
    <w:rsid w:val="46C3223F"/>
    <w:rsid w:val="4773458E"/>
    <w:rsid w:val="47F20AEF"/>
    <w:rsid w:val="4C146A09"/>
    <w:rsid w:val="4CC865C5"/>
    <w:rsid w:val="4E9943EB"/>
    <w:rsid w:val="4FEA369C"/>
    <w:rsid w:val="502508CB"/>
    <w:rsid w:val="508E2F49"/>
    <w:rsid w:val="537A390F"/>
    <w:rsid w:val="545672F0"/>
    <w:rsid w:val="549171A0"/>
    <w:rsid w:val="55906A16"/>
    <w:rsid w:val="566A2B25"/>
    <w:rsid w:val="57E13C97"/>
    <w:rsid w:val="59696514"/>
    <w:rsid w:val="5C866C60"/>
    <w:rsid w:val="5DE62F9D"/>
    <w:rsid w:val="5DFF4525"/>
    <w:rsid w:val="5EB0424F"/>
    <w:rsid w:val="5ECB4376"/>
    <w:rsid w:val="60275DA0"/>
    <w:rsid w:val="61F2703E"/>
    <w:rsid w:val="623B1ED6"/>
    <w:rsid w:val="64224F01"/>
    <w:rsid w:val="6690579C"/>
    <w:rsid w:val="69A669A4"/>
    <w:rsid w:val="6C82780B"/>
    <w:rsid w:val="6D4E1037"/>
    <w:rsid w:val="6D6C1F8A"/>
    <w:rsid w:val="6D9D22AB"/>
    <w:rsid w:val="70D447E2"/>
    <w:rsid w:val="71E525FC"/>
    <w:rsid w:val="730A3CFD"/>
    <w:rsid w:val="74453422"/>
    <w:rsid w:val="74786221"/>
    <w:rsid w:val="7515187F"/>
    <w:rsid w:val="7535603A"/>
    <w:rsid w:val="7653467D"/>
    <w:rsid w:val="78370DF4"/>
    <w:rsid w:val="79592B43"/>
    <w:rsid w:val="7A25410C"/>
    <w:rsid w:val="7A7C5752"/>
    <w:rsid w:val="7ACD67BD"/>
    <w:rsid w:val="7CAA2A01"/>
    <w:rsid w:val="7D333857"/>
    <w:rsid w:val="7ED0194D"/>
    <w:rsid w:val="7F56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0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4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4389</Words>
  <Characters>5100</Characters>
  <Lines>0</Lines>
  <Paragraphs>0</Paragraphs>
  <TotalTime>14</TotalTime>
  <ScaleCrop>false</ScaleCrop>
  <LinksUpToDate>false</LinksUpToDate>
  <CharactersWithSpaces>5145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2021-05-07T08:43:00Z</dcterms:created>
  <dc:creator>赵子彦</dc:creator>
  <cp:lastModifiedBy>赵子彦</cp:lastModifiedBy>
  <cp:lastPrinted>2022-03-31T07:30:00Z</cp:lastPrinted>
  <dcterms:modified xsi:type="dcterms:W3CDTF">2022-04-28T09:44:55Z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2E9F212BB521404EB4BCC892A9058D5E</vt:lpwstr>
  </property>
</Properties>
</file>