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实验室安全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  <w:lang w:val="en-US" w:eastAsia="zh-CN"/>
        </w:rPr>
        <w:t>检查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通报</w:t>
      </w:r>
    </w:p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p>
      <w:pPr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w:t>北京建筑大学</w:t>
      </w:r>
      <w:r>
        <w:rPr>
          <w:rFonts w:ascii="楷体" w:hAnsi="楷体" w:eastAsia="楷体"/>
          <w:sz w:val="24"/>
          <w:szCs w:val="24"/>
          <w:highlight w:val="none"/>
        </w:rPr>
        <w:t xml:space="preserve"> 国有资产与实验室管理处        〔20</w:t>
      </w:r>
      <w:r>
        <w:rPr>
          <w:rFonts w:hint="eastAsia" w:ascii="楷体" w:hAnsi="楷体" w:eastAsia="楷体"/>
          <w:sz w:val="24"/>
          <w:szCs w:val="24"/>
          <w:highlight w:val="none"/>
        </w:rPr>
        <w:t>21</w:t>
      </w:r>
      <w:r>
        <w:rPr>
          <w:rFonts w:ascii="楷体" w:hAnsi="楷体" w:eastAsia="楷体"/>
          <w:sz w:val="24"/>
          <w:szCs w:val="24"/>
          <w:highlight w:val="none"/>
        </w:rPr>
        <w:t>〕第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21</w:t>
      </w:r>
      <w:r>
        <w:rPr>
          <w:rFonts w:ascii="楷体" w:hAnsi="楷体" w:eastAsia="楷体"/>
          <w:sz w:val="24"/>
          <w:szCs w:val="24"/>
          <w:highlight w:val="none"/>
        </w:rPr>
        <w:t>期，总第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27</w:t>
      </w:r>
      <w:r>
        <w:rPr>
          <w:rFonts w:ascii="楷体" w:hAnsi="楷体" w:eastAsia="楷体"/>
          <w:sz w:val="24"/>
          <w:szCs w:val="24"/>
          <w:highlight w:val="none"/>
        </w:rPr>
        <w:t>期</w:t>
      </w:r>
    </w:p>
    <w:p>
      <w:pPr>
        <w:tabs>
          <w:tab w:val="right" w:pos="8306"/>
        </w:tabs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74930</wp:posOffset>
                </wp:positionV>
                <wp:extent cx="526097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.75pt;margin-top:5.9pt;height:0pt;width:414.25pt;z-index:251659264;mso-width-relative:page;mso-height-relative:page;" filled="f" stroked="t" coordsize="21600,21600" o:gfxdata="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JcD1tYAAAAHAQAADwAAAAAAAAABACAAAAAiAAAAZHJzL2Rvd25yZXYueG1sUEsBAhQA&#10;FAAAAAgAh07iQAM8CCL0AQAA5gMAAA4AAAAAAAAAAQAgAAAAJQ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 w:val="24"/>
          <w:szCs w:val="24"/>
          <w:highlight w:val="none"/>
        </w:rPr>
        <w:tab/>
      </w:r>
    </w:p>
    <w:p>
      <w:pPr>
        <w:tabs>
          <w:tab w:val="right" w:pos="8306"/>
        </w:tabs>
        <w:jc w:val="left"/>
        <w:rPr>
          <w:rFonts w:ascii="楷体" w:hAnsi="楷体" w:eastAsia="楷体"/>
          <w:sz w:val="22"/>
          <w:highlight w:val="none"/>
        </w:rPr>
      </w:pPr>
    </w:p>
    <w:p>
      <w:pPr>
        <w:tabs>
          <w:tab w:val="right" w:pos="8306"/>
        </w:tabs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检查时间：2021年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等线" w:hAnsi="等线" w:eastAsia="等线" w:cs="等线"/>
          <w:sz w:val="28"/>
          <w:szCs w:val="28"/>
          <w:highlight w:val="none"/>
        </w:rPr>
        <w:t>月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23日—27日</w:t>
      </w:r>
    </w:p>
    <w:p>
      <w:pPr>
        <w:tabs>
          <w:tab w:val="right" w:pos="8306"/>
        </w:tabs>
        <w:ind w:left="1400" w:hanging="1400" w:hangingChars="500"/>
        <w:rPr>
          <w:rFonts w:hint="default" w:ascii="等线" w:hAnsi="等线" w:eastAsia="等线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检查范围：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建筑学院、土木学院、环能学院、电信学院、机电学院</w:t>
      </w:r>
    </w:p>
    <w:p>
      <w:pPr>
        <w:ind w:left="1400" w:hanging="1400" w:hangingChars="500"/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cs="等线"/>
          <w:sz w:val="28"/>
          <w:szCs w:val="28"/>
          <w:highlight w:val="none"/>
          <w:lang w:val="en-US" w:eastAsia="zh-CN"/>
        </w:rPr>
        <w:t>检查内容：暑期开放实验室及研修室、夜间运行实验室安全检查</w:t>
      </w:r>
    </w:p>
    <w:p>
      <w:pPr>
        <w:jc w:val="left"/>
        <w:rPr>
          <w:rFonts w:hint="default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检查工作人员：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刘蔚、焦驰宇、王梦、赵子彦</w:t>
      </w:r>
    </w:p>
    <w:p>
      <w:pPr>
        <w:jc w:val="left"/>
        <w:rPr>
          <w:rFonts w:hint="eastAsia" w:ascii="楷体" w:hAnsi="楷体" w:eastAsia="楷体" w:cs="楷体"/>
          <w:sz w:val="22"/>
          <w:szCs w:val="22"/>
          <w:highlight w:val="none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各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二级单位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：</w:t>
      </w:r>
    </w:p>
    <w:p>
      <w:pPr>
        <w:ind w:firstLine="560" w:firstLineChars="20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为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确保暑假期间实验室安全有序运行，国资处于8月23日至27日对两校区暑期开放实验室、研修室及夜间运行实验室进行安全检查。现将新增隐患列于表1，请相关实验室高度重视，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切实落实整改措施，其他实验室引以为鉴，杜绝出现类似安全隐患。</w:t>
      </w:r>
    </w:p>
    <w:p>
      <w:pPr>
        <w:jc w:val="right"/>
        <w:rPr>
          <w:rFonts w:hint="eastAsia" w:ascii="楷体" w:hAnsi="楷体" w:eastAsia="楷体" w:cs="楷体"/>
          <w:sz w:val="22"/>
          <w:szCs w:val="22"/>
          <w:highlight w:val="none"/>
          <w:lang w:val="en-US" w:eastAsia="zh-CN"/>
        </w:rPr>
      </w:pPr>
    </w:p>
    <w:p>
      <w:pPr>
        <w:jc w:val="right"/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国有资产与实验室管理处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2021年8月30日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楷体" w:hAnsi="楷体" w:eastAsia="楷体"/>
          <w:sz w:val="28"/>
          <w:szCs w:val="32"/>
          <w:highlight w:val="none"/>
        </w:rPr>
      </w:pPr>
    </w:p>
    <w:p>
      <w:pPr>
        <w:jc w:val="left"/>
        <w:rPr>
          <w:rFonts w:hint="eastAsia" w:ascii="楷体" w:hAnsi="楷体" w:eastAsia="楷体"/>
          <w:sz w:val="28"/>
          <w:szCs w:val="32"/>
          <w:highlight w:val="none"/>
        </w:rPr>
      </w:pPr>
    </w:p>
    <w:p>
      <w:pPr>
        <w:jc w:val="left"/>
        <w:rPr>
          <w:rFonts w:ascii="楷体" w:hAnsi="楷体" w:eastAsia="楷体"/>
          <w:sz w:val="28"/>
          <w:szCs w:val="32"/>
          <w:highlight w:val="none"/>
        </w:rPr>
      </w:pPr>
      <w:r>
        <w:rPr>
          <w:rFonts w:hint="eastAsia" w:ascii="楷体" w:hAnsi="楷体" w:eastAsia="楷体"/>
          <w:sz w:val="28"/>
          <w:szCs w:val="32"/>
          <w:highlight w:val="none"/>
        </w:rPr>
        <w:t>表1：</w:t>
      </w:r>
    </w:p>
    <w:p>
      <w:pPr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实验室安全检查记录</w:t>
      </w:r>
    </w:p>
    <w:tbl>
      <w:tblPr>
        <w:tblStyle w:val="3"/>
        <w:tblW w:w="768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"/>
        <w:gridCol w:w="750"/>
        <w:gridCol w:w="782"/>
        <w:gridCol w:w="1135"/>
        <w:gridCol w:w="1549"/>
        <w:gridCol w:w="1147"/>
        <w:gridCol w:w="11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隐患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复查时间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空调漏水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有条件整改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备用气瓶无气瓶帽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无人值守未锁门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实验室假期使用记录不全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学生未穿实验服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仪器设备上方的水瓶、水管存在安全隐患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未穿实验服、穿拖鞋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未穿实验服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设备运行无人值守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建材楼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危废处置不当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2021.9.3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613D"/>
    <w:rsid w:val="01BB2231"/>
    <w:rsid w:val="04762130"/>
    <w:rsid w:val="04E63198"/>
    <w:rsid w:val="0717727A"/>
    <w:rsid w:val="077B6278"/>
    <w:rsid w:val="08474F94"/>
    <w:rsid w:val="0AC0375B"/>
    <w:rsid w:val="0E387FF2"/>
    <w:rsid w:val="10FD107F"/>
    <w:rsid w:val="13555AF3"/>
    <w:rsid w:val="164A1DB7"/>
    <w:rsid w:val="19B26330"/>
    <w:rsid w:val="1B313343"/>
    <w:rsid w:val="1BF06014"/>
    <w:rsid w:val="1C5F62D8"/>
    <w:rsid w:val="1E71613D"/>
    <w:rsid w:val="1E8F3403"/>
    <w:rsid w:val="1E9152A2"/>
    <w:rsid w:val="21BE6583"/>
    <w:rsid w:val="23C70972"/>
    <w:rsid w:val="250A2143"/>
    <w:rsid w:val="25E438E8"/>
    <w:rsid w:val="269936B5"/>
    <w:rsid w:val="2AAE3125"/>
    <w:rsid w:val="2BA61539"/>
    <w:rsid w:val="302A31A4"/>
    <w:rsid w:val="315248EC"/>
    <w:rsid w:val="33281B72"/>
    <w:rsid w:val="33B031B6"/>
    <w:rsid w:val="340A018D"/>
    <w:rsid w:val="35575444"/>
    <w:rsid w:val="36F9742D"/>
    <w:rsid w:val="37471F02"/>
    <w:rsid w:val="3A72439C"/>
    <w:rsid w:val="3F801B36"/>
    <w:rsid w:val="42183BB4"/>
    <w:rsid w:val="42942910"/>
    <w:rsid w:val="43EE45EB"/>
    <w:rsid w:val="459441F7"/>
    <w:rsid w:val="45A869F3"/>
    <w:rsid w:val="45E719DB"/>
    <w:rsid w:val="4773458E"/>
    <w:rsid w:val="47F20AEF"/>
    <w:rsid w:val="4C146A09"/>
    <w:rsid w:val="4CC865C5"/>
    <w:rsid w:val="4E9943EB"/>
    <w:rsid w:val="537A390F"/>
    <w:rsid w:val="545672F0"/>
    <w:rsid w:val="55906A16"/>
    <w:rsid w:val="59696514"/>
    <w:rsid w:val="5DE62F9D"/>
    <w:rsid w:val="60275DA0"/>
    <w:rsid w:val="623B1ED6"/>
    <w:rsid w:val="6690579C"/>
    <w:rsid w:val="69A669A4"/>
    <w:rsid w:val="6D4E1037"/>
    <w:rsid w:val="6D6C1F8A"/>
    <w:rsid w:val="70D447E2"/>
    <w:rsid w:val="71E525FC"/>
    <w:rsid w:val="730A3CFD"/>
    <w:rsid w:val="7515187F"/>
    <w:rsid w:val="7535603A"/>
    <w:rsid w:val="78370DF4"/>
    <w:rsid w:val="7CAA2A01"/>
    <w:rsid w:val="7ED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2021-05-07T08:43:00Z</dcterms:created>
  <dc:creator>赵子彦</dc:creator>
  <cp:lastModifiedBy>梦调儿</cp:lastModifiedBy>
  <dcterms:modified xsi:type="dcterms:W3CDTF">2021-08-30T06:23:34Z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48380444A60A4F648DE1AE1E725BF413</vt:lpwstr>
  </property>
</Properties>
</file>